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1CC19D21" w:rsidR="00192FEB" w:rsidRDefault="0013794D" w:rsidP="00192FEB">
      <w:pPr>
        <w:pStyle w:val="Documentnumber"/>
      </w:pPr>
      <w:r>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6F488D">
          <w:rPr>
            <w:webHidden/>
          </w:rPr>
          <w:t>3</w:t>
        </w:r>
        <w:r w:rsidR="00757F9E">
          <w:rPr>
            <w:webHidden/>
          </w:rPr>
          <w:fldChar w:fldCharType="end"/>
        </w:r>
      </w:hyperlink>
    </w:p>
    <w:p w14:paraId="5A57CA93" w14:textId="77777777" w:rsidR="00757F9E" w:rsidRDefault="00AB27B1">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6F488D">
          <w:rPr>
            <w:webHidden/>
          </w:rPr>
          <w:t>3</w:t>
        </w:r>
        <w:r w:rsidR="00757F9E">
          <w:rPr>
            <w:webHidden/>
          </w:rPr>
          <w:fldChar w:fldCharType="end"/>
        </w:r>
      </w:hyperlink>
    </w:p>
    <w:p w14:paraId="75034B08" w14:textId="77777777" w:rsidR="00757F9E" w:rsidRDefault="00AB27B1">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6F488D">
          <w:rPr>
            <w:webHidden/>
          </w:rPr>
          <w:t>3</w:t>
        </w:r>
        <w:r w:rsidR="00757F9E">
          <w:rPr>
            <w:webHidden/>
          </w:rPr>
          <w:fldChar w:fldCharType="end"/>
        </w:r>
      </w:hyperlink>
    </w:p>
    <w:p w14:paraId="1A6265BF" w14:textId="77777777" w:rsidR="00757F9E" w:rsidRDefault="00AB27B1">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6F488D">
          <w:rPr>
            <w:webHidden/>
          </w:rPr>
          <w:t>3</w:t>
        </w:r>
        <w:r w:rsidR="00757F9E">
          <w:rPr>
            <w:webHidden/>
          </w:rPr>
          <w:fldChar w:fldCharType="end"/>
        </w:r>
      </w:hyperlink>
    </w:p>
    <w:p w14:paraId="4BE62355" w14:textId="77777777" w:rsidR="00757F9E" w:rsidRDefault="00AB27B1">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6F488D">
          <w:rPr>
            <w:webHidden/>
          </w:rPr>
          <w:t>4</w:t>
        </w:r>
        <w:r w:rsidR="00757F9E">
          <w:rPr>
            <w:webHidden/>
          </w:rPr>
          <w:fldChar w:fldCharType="end"/>
        </w:r>
      </w:hyperlink>
    </w:p>
    <w:p w14:paraId="56E650A4" w14:textId="77777777" w:rsidR="00757F9E" w:rsidRDefault="00AB27B1">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6F488D">
          <w:rPr>
            <w:webHidden/>
          </w:rPr>
          <w:t>4</w:t>
        </w:r>
        <w:r w:rsidR="00757F9E">
          <w:rPr>
            <w:webHidden/>
          </w:rPr>
          <w:fldChar w:fldCharType="end"/>
        </w:r>
      </w:hyperlink>
    </w:p>
    <w:p w14:paraId="5CB07878" w14:textId="77777777" w:rsidR="00757F9E" w:rsidRDefault="00AB27B1">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6F488D">
          <w:rPr>
            <w:webHidden/>
          </w:rPr>
          <w:t>4</w:t>
        </w:r>
        <w:r w:rsidR="00757F9E">
          <w:rPr>
            <w:webHidden/>
          </w:rPr>
          <w:fldChar w:fldCharType="end"/>
        </w:r>
      </w:hyperlink>
    </w:p>
    <w:p w14:paraId="790A8C13" w14:textId="77777777" w:rsidR="00757F9E" w:rsidRDefault="00AB27B1">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6F488D">
          <w:rPr>
            <w:webHidden/>
          </w:rPr>
          <w:t>4</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4"/>
          <w:headerReference w:type="default" r:id="rId15"/>
          <w:footerReference w:type="default" r:id="rId16"/>
          <w:headerReference w:type="first" r:id="rId1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77777777" w:rsidR="004259CB" w:rsidRPr="004259CB" w:rsidRDefault="004259CB" w:rsidP="004259CB">
      <w:pPr>
        <w:pStyle w:val="BodyText"/>
      </w:pPr>
      <w:r w:rsidRPr="004259CB">
        <w:t xml:space="preserve">The IALA Strategic Vision for the period 2014-2026, adopted by the General Assembly in 2014, had two Goals, the first of which is 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5C49E69A" w:rsidR="004259CB" w:rsidRPr="004259CB" w:rsidRDefault="004259CB" w:rsidP="004259CB">
      <w:pPr>
        <w:pStyle w:val="BodyText"/>
      </w:pPr>
      <w:r w:rsidRPr="004259CB">
        <w:t>IALA Standards are suitable for direct citation by States in the interest of an efficient and harmonised global network of aids to navigation and services.</w:t>
      </w:r>
    </w:p>
    <w:p w14:paraId="0CBAFCBD" w14:textId="03642EE5"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r w:rsidR="00160F8A">
        <w:rPr>
          <w:caps w:val="0"/>
        </w:rPr>
        <w:t xml:space="preserve">      </w:t>
      </w:r>
      <w:r w:rsidR="00160F8A" w:rsidRPr="00160F8A">
        <w:rPr>
          <w:rFonts w:ascii="Tahoma" w:hAnsi="Tahoma" w:cs="Tahoma"/>
          <w:color w:val="000000"/>
          <w:sz w:val="20"/>
          <w:szCs w:val="20"/>
          <w:highlight w:val="yellow"/>
        </w:rPr>
        <w:t>same comments as previously stated</w:t>
      </w:r>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6B52821E" w14:textId="475243ED" w:rsidR="004A4A3F" w:rsidRDefault="009724BE" w:rsidP="009724BE">
      <w:pPr>
        <w:pStyle w:val="Bullet1"/>
      </w:pPr>
      <w:r w:rsidRPr="009724BE">
        <w:t>Harmonised maritime connectivity framework (C</w:t>
      </w:r>
      <w:r>
        <w:t xml:space="preserve">ommon </w:t>
      </w:r>
      <w:r w:rsidRPr="009724BE">
        <w:t>M</w:t>
      </w:r>
      <w:r>
        <w:t xml:space="preserve">arine </w:t>
      </w:r>
      <w:r w:rsidRPr="009724BE">
        <w:t>D</w:t>
      </w:r>
      <w:r>
        <w:t xml:space="preserve">ata </w:t>
      </w:r>
      <w:r w:rsidRPr="009724BE">
        <w:t>S</w:t>
      </w:r>
      <w:r>
        <w:t>tructure</w:t>
      </w:r>
      <w:r w:rsidRPr="009724BE">
        <w:t>)</w:t>
      </w:r>
    </w:p>
    <w:p w14:paraId="64B7E5B7" w14:textId="3E577BE1" w:rsidR="009724BE" w:rsidRDefault="009724BE" w:rsidP="009724BE">
      <w:pPr>
        <w:pStyle w:val="Bullet1"/>
      </w:pPr>
      <w:r w:rsidRPr="009724BE">
        <w:t>Data models and data encoding (IVEF, S-100, S-200, A</w:t>
      </w:r>
      <w:r>
        <w:t xml:space="preserve">pplication </w:t>
      </w:r>
      <w:r w:rsidRPr="009724BE">
        <w:t>S</w:t>
      </w:r>
      <w:r>
        <w:t xml:space="preserve">pecific </w:t>
      </w:r>
      <w:r w:rsidRPr="009724BE">
        <w:t>M</w:t>
      </w:r>
      <w:r>
        <w:t>essages</w:t>
      </w:r>
      <w:r w:rsidRPr="009724BE">
        <w:t>)</w:t>
      </w:r>
    </w:p>
    <w:p w14:paraId="5FE0280E" w14:textId="12921128" w:rsidR="009724BE" w:rsidRDefault="009724BE" w:rsidP="009724BE">
      <w:pPr>
        <w:pStyle w:val="Bullet1"/>
      </w:pPr>
      <w:r w:rsidRPr="009724BE">
        <w:t>Data exchange systems (Traffic Information)</w:t>
      </w:r>
    </w:p>
    <w:p w14:paraId="05F81BC1" w14:textId="2A3915C5" w:rsidR="009724BE" w:rsidRPr="00160F8A" w:rsidRDefault="009724BE" w:rsidP="009724BE">
      <w:pPr>
        <w:pStyle w:val="Bullet1"/>
        <w:rPr>
          <w:highlight w:val="yellow"/>
        </w:rPr>
      </w:pPr>
      <w:r w:rsidRPr="00160F8A">
        <w:rPr>
          <w:highlight w:val="yellow"/>
        </w:rPr>
        <w:lastRenderedPageBreak/>
        <w:t>User requirements</w:t>
      </w:r>
    </w:p>
    <w:p w14:paraId="1A4D8020" w14:textId="3567BD5E" w:rsidR="009724BE" w:rsidRPr="00160F8A" w:rsidRDefault="009724BE" w:rsidP="009724BE">
      <w:pPr>
        <w:pStyle w:val="Bullet1"/>
        <w:rPr>
          <w:highlight w:val="yellow"/>
        </w:rPr>
      </w:pPr>
      <w:r w:rsidRPr="00160F8A">
        <w:rPr>
          <w:highlight w:val="yellow"/>
        </w:rPr>
        <w:t>Terminology and symbology</w:t>
      </w:r>
      <w:r w:rsidRPr="009724BE">
        <w:t xml:space="preserve"> (IALA Dictionary)</w:t>
      </w:r>
      <w:r w:rsidR="00160F8A">
        <w:t xml:space="preserve">  </w:t>
      </w:r>
      <w:r w:rsidR="00160F8A" w:rsidRPr="00160F8A">
        <w:rPr>
          <w:highlight w:val="yellow"/>
        </w:rPr>
        <w:t>not included in table</w:t>
      </w: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77777777" w:rsidR="006F488D" w:rsidRPr="004259CB" w:rsidRDefault="006F488D" w:rsidP="006F488D">
      <w:pPr>
        <w:pStyle w:val="BodyText"/>
      </w:pPr>
      <w:bookmarkStart w:id="22" w:name="_Toc455589139"/>
      <w:bookmarkEnd w:id="22"/>
      <w:r w:rsidRPr="004259CB">
        <w:t xml:space="preserve">In this Standard the word ‘shall’ is used to </w:t>
      </w:r>
      <w:r>
        <w:t>indicate</w:t>
      </w:r>
      <w:r w:rsidRPr="004259CB">
        <w:t xml:space="preserve"> that a provision is Normative and so is to be followed in order to comply with the standard.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1356"/>
        <w:gridCol w:w="5865"/>
      </w:tblGrid>
      <w:tr w:rsidR="004259CB" w:rsidRPr="004259CB" w14:paraId="0C5F35C5" w14:textId="77777777" w:rsidTr="00C17EF7">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356"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C17EF7" w:rsidRPr="004259CB" w14:paraId="42BC97ED" w14:textId="77777777" w:rsidTr="00C17EF7">
        <w:trPr>
          <w:jc w:val="center"/>
        </w:trPr>
        <w:tc>
          <w:tcPr>
            <w:tcW w:w="2526" w:type="dxa"/>
            <w:vMerge w:val="restart"/>
          </w:tcPr>
          <w:p w14:paraId="705FBD26" w14:textId="1902C4DF" w:rsidR="00C17EF7" w:rsidRPr="00085375" w:rsidRDefault="00C17EF7" w:rsidP="00BA0EEF">
            <w:pPr>
              <w:spacing w:before="120" w:after="120"/>
              <w:rPr>
                <w:b/>
                <w:sz w:val="22"/>
                <w:lang w:val="en-GB"/>
              </w:rPr>
            </w:pPr>
            <w:r w:rsidRPr="009724BE">
              <w:rPr>
                <w:b/>
                <w:sz w:val="22"/>
                <w:lang w:val="en-GB"/>
              </w:rPr>
              <w:t>Harmonised maritime connectivity framework (Common Marine Data Structure)</w:t>
            </w:r>
          </w:p>
        </w:tc>
        <w:tc>
          <w:tcPr>
            <w:tcW w:w="1356" w:type="dxa"/>
          </w:tcPr>
          <w:p w14:paraId="23E83C70" w14:textId="1A474FA5" w:rsidR="00C17EF7" w:rsidRDefault="00C17EF7" w:rsidP="00BA0EEF">
            <w:pPr>
              <w:spacing w:before="120" w:after="120"/>
              <w:rPr>
                <w:sz w:val="22"/>
                <w:lang w:val="en-GB"/>
              </w:rPr>
            </w:pPr>
            <w:r>
              <w:rPr>
                <w:sz w:val="22"/>
                <w:lang w:val="en-GB"/>
              </w:rPr>
              <w:t>e-NAV-140</w:t>
            </w:r>
          </w:p>
        </w:tc>
        <w:tc>
          <w:tcPr>
            <w:tcW w:w="5865" w:type="dxa"/>
          </w:tcPr>
          <w:p w14:paraId="1F63623E" w14:textId="4E0B5104" w:rsidR="00C17EF7" w:rsidRPr="00033773" w:rsidRDefault="00C17EF7" w:rsidP="00BA0EEF">
            <w:pPr>
              <w:spacing w:before="120" w:after="120"/>
              <w:rPr>
                <w:sz w:val="22"/>
                <w:lang w:val="en-GB"/>
              </w:rPr>
            </w:pPr>
            <w:r w:rsidRPr="009724BE">
              <w:rPr>
                <w:sz w:val="22"/>
                <w:lang w:val="en-GB"/>
              </w:rPr>
              <w:t>The Architecture for Shore-based Infrastructure 'fit for e-Navigation'</w:t>
            </w:r>
          </w:p>
        </w:tc>
      </w:tr>
      <w:tr w:rsidR="00C17EF7" w:rsidRPr="004259CB" w14:paraId="6C9FAF64" w14:textId="77777777" w:rsidTr="00C17EF7">
        <w:trPr>
          <w:jc w:val="center"/>
        </w:trPr>
        <w:tc>
          <w:tcPr>
            <w:tcW w:w="2526" w:type="dxa"/>
            <w:vMerge/>
          </w:tcPr>
          <w:p w14:paraId="1E3E93DF" w14:textId="77777777" w:rsidR="00C17EF7" w:rsidRPr="00085375" w:rsidRDefault="00C17EF7" w:rsidP="00BA0EEF">
            <w:pPr>
              <w:spacing w:before="120" w:after="120"/>
              <w:rPr>
                <w:b/>
                <w:sz w:val="22"/>
                <w:lang w:val="en-GB"/>
              </w:rPr>
            </w:pPr>
          </w:p>
        </w:tc>
        <w:tc>
          <w:tcPr>
            <w:tcW w:w="1356" w:type="dxa"/>
          </w:tcPr>
          <w:p w14:paraId="61BBA362" w14:textId="232FD3C8" w:rsidR="00C17EF7" w:rsidRDefault="00C17EF7" w:rsidP="00BA0EEF">
            <w:pPr>
              <w:spacing w:before="120" w:after="120"/>
              <w:rPr>
                <w:sz w:val="22"/>
                <w:lang w:val="en-GB"/>
              </w:rPr>
            </w:pPr>
            <w:r>
              <w:rPr>
                <w:sz w:val="22"/>
                <w:lang w:val="en-GB"/>
              </w:rPr>
              <w:t>e-NAV-148</w:t>
            </w:r>
          </w:p>
        </w:tc>
        <w:tc>
          <w:tcPr>
            <w:tcW w:w="5865" w:type="dxa"/>
          </w:tcPr>
          <w:p w14:paraId="7677CA7A" w14:textId="63120306" w:rsidR="00C17EF7" w:rsidRPr="00033773" w:rsidRDefault="00C17EF7" w:rsidP="009724BE">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r w:rsidR="00C17EF7" w:rsidRPr="004259CB" w14:paraId="1909AF4F" w14:textId="77777777" w:rsidTr="00C17EF7">
        <w:trPr>
          <w:jc w:val="center"/>
        </w:trPr>
        <w:tc>
          <w:tcPr>
            <w:tcW w:w="2526" w:type="dxa"/>
            <w:vMerge w:val="restart"/>
          </w:tcPr>
          <w:p w14:paraId="4D2788F9" w14:textId="3F96B9AB" w:rsidR="00C17EF7" w:rsidRPr="00085375" w:rsidRDefault="00C17EF7" w:rsidP="00BA0EEF">
            <w:pPr>
              <w:spacing w:before="120" w:after="120"/>
              <w:rPr>
                <w:b/>
                <w:sz w:val="22"/>
                <w:lang w:val="en-GB"/>
              </w:rPr>
            </w:pPr>
            <w:r w:rsidRPr="00C17EF7">
              <w:rPr>
                <w:b/>
                <w:sz w:val="22"/>
                <w:lang w:val="en-GB"/>
              </w:rPr>
              <w:t>Data models and data encoding (IVEF, S-100, S-200, Application Specific Messages)</w:t>
            </w:r>
          </w:p>
        </w:tc>
        <w:tc>
          <w:tcPr>
            <w:tcW w:w="1356" w:type="dxa"/>
          </w:tcPr>
          <w:p w14:paraId="00BE882F" w14:textId="296326E0" w:rsidR="00C17EF7" w:rsidRDefault="00C17EF7" w:rsidP="00BA0EEF">
            <w:pPr>
              <w:spacing w:before="120" w:after="120"/>
              <w:rPr>
                <w:sz w:val="22"/>
                <w:lang w:val="en-GB"/>
              </w:rPr>
            </w:pPr>
            <w:r>
              <w:rPr>
                <w:sz w:val="22"/>
                <w:lang w:val="en-GB"/>
              </w:rPr>
              <w:t>e-NAV-144</w:t>
            </w:r>
          </w:p>
        </w:tc>
        <w:tc>
          <w:tcPr>
            <w:tcW w:w="5865" w:type="dxa"/>
          </w:tcPr>
          <w:p w14:paraId="287B30BE" w14:textId="2A693EEB" w:rsidR="00C17EF7" w:rsidRPr="00033773" w:rsidRDefault="00C17EF7" w:rsidP="00BA0EEF">
            <w:pPr>
              <w:spacing w:before="120" w:after="120"/>
              <w:rPr>
                <w:sz w:val="22"/>
                <w:lang w:val="en-GB"/>
              </w:rPr>
            </w:pPr>
            <w:r w:rsidRPr="00C17EF7">
              <w:rPr>
                <w:sz w:val="22"/>
                <w:lang w:val="en-GB"/>
              </w:rPr>
              <w:t>Harmonized implementation of Application Specific Message</w:t>
            </w:r>
            <w:r>
              <w:rPr>
                <w:sz w:val="22"/>
                <w:lang w:val="en-GB"/>
              </w:rPr>
              <w:t>s</w:t>
            </w:r>
            <w:r w:rsidRPr="00C17EF7">
              <w:rPr>
                <w:sz w:val="22"/>
                <w:lang w:val="en-GB"/>
              </w:rPr>
              <w:t xml:space="preserve"> (ASM</w:t>
            </w:r>
            <w:r>
              <w:rPr>
                <w:sz w:val="22"/>
                <w:lang w:val="en-GB"/>
              </w:rPr>
              <w:t>s</w:t>
            </w:r>
            <w:r w:rsidRPr="00C17EF7">
              <w:rPr>
                <w:sz w:val="22"/>
                <w:lang w:val="en-GB"/>
              </w:rPr>
              <w:t>)</w:t>
            </w:r>
          </w:p>
        </w:tc>
      </w:tr>
      <w:tr w:rsidR="00C17EF7" w:rsidRPr="004259CB" w14:paraId="7919D3E6" w14:textId="77777777" w:rsidTr="00C17EF7">
        <w:trPr>
          <w:jc w:val="center"/>
        </w:trPr>
        <w:tc>
          <w:tcPr>
            <w:tcW w:w="2526" w:type="dxa"/>
            <w:vMerge/>
          </w:tcPr>
          <w:p w14:paraId="23973737" w14:textId="77777777" w:rsidR="00C17EF7" w:rsidRPr="00085375" w:rsidRDefault="00C17EF7" w:rsidP="00BA0EEF">
            <w:pPr>
              <w:spacing w:before="120" w:after="120"/>
              <w:rPr>
                <w:b/>
                <w:sz w:val="22"/>
                <w:lang w:val="en-GB"/>
              </w:rPr>
            </w:pPr>
          </w:p>
        </w:tc>
        <w:tc>
          <w:tcPr>
            <w:tcW w:w="1356" w:type="dxa"/>
          </w:tcPr>
          <w:p w14:paraId="7B2DFC13" w14:textId="229F8E4C" w:rsidR="00C17EF7" w:rsidRDefault="00C17EF7" w:rsidP="00BA0EEF">
            <w:pPr>
              <w:spacing w:before="120" w:after="120"/>
              <w:rPr>
                <w:sz w:val="22"/>
                <w:lang w:val="en-GB"/>
              </w:rPr>
            </w:pPr>
            <w:r>
              <w:rPr>
                <w:sz w:val="22"/>
                <w:lang w:val="en-GB"/>
              </w:rPr>
              <w:t>e-NAV-147</w:t>
            </w:r>
          </w:p>
        </w:tc>
        <w:tc>
          <w:tcPr>
            <w:tcW w:w="5865" w:type="dxa"/>
          </w:tcPr>
          <w:p w14:paraId="2E2C6B36" w14:textId="3433429D" w:rsidR="00C17EF7" w:rsidRPr="00033773" w:rsidRDefault="00C17EF7" w:rsidP="00BA0EEF">
            <w:pPr>
              <w:spacing w:before="120" w:after="120"/>
              <w:rPr>
                <w:sz w:val="22"/>
                <w:lang w:val="en-GB"/>
              </w:rPr>
            </w:pPr>
            <w:r w:rsidRPr="00C17EF7">
              <w:rPr>
                <w:sz w:val="22"/>
                <w:lang w:val="en-GB"/>
              </w:rPr>
              <w:t>Product Specification Development and Management</w:t>
            </w:r>
          </w:p>
        </w:tc>
      </w:tr>
      <w:tr w:rsidR="00C17EF7" w:rsidRPr="004259CB" w14:paraId="3B544BD6" w14:textId="77777777" w:rsidTr="00C17EF7">
        <w:trPr>
          <w:jc w:val="center"/>
        </w:trPr>
        <w:tc>
          <w:tcPr>
            <w:tcW w:w="2526" w:type="dxa"/>
            <w:vMerge/>
          </w:tcPr>
          <w:p w14:paraId="53502410" w14:textId="77777777" w:rsidR="00C17EF7" w:rsidRPr="00085375" w:rsidRDefault="00C17EF7" w:rsidP="00BA0EEF">
            <w:pPr>
              <w:spacing w:before="120" w:after="120"/>
              <w:rPr>
                <w:b/>
                <w:sz w:val="22"/>
                <w:lang w:val="en-GB"/>
              </w:rPr>
            </w:pPr>
          </w:p>
        </w:tc>
        <w:tc>
          <w:tcPr>
            <w:tcW w:w="1356" w:type="dxa"/>
          </w:tcPr>
          <w:p w14:paraId="44844CE8" w14:textId="145DABF7" w:rsidR="00C17EF7" w:rsidRDefault="00C17EF7" w:rsidP="00BA0EEF">
            <w:pPr>
              <w:spacing w:before="120" w:after="120"/>
              <w:rPr>
                <w:sz w:val="22"/>
                <w:lang w:val="en-GB"/>
              </w:rPr>
            </w:pPr>
            <w:r>
              <w:rPr>
                <w:sz w:val="22"/>
                <w:lang w:val="en-GB"/>
              </w:rPr>
              <w:t>V-145</w:t>
            </w:r>
          </w:p>
        </w:tc>
        <w:tc>
          <w:tcPr>
            <w:tcW w:w="5865" w:type="dxa"/>
          </w:tcPr>
          <w:p w14:paraId="22874AFB" w14:textId="2BA12312" w:rsidR="00C17EF7" w:rsidRPr="00033773" w:rsidRDefault="00C17EF7" w:rsidP="00BA0EEF">
            <w:pPr>
              <w:spacing w:before="120" w:after="120"/>
              <w:rPr>
                <w:sz w:val="22"/>
                <w:lang w:val="en-GB"/>
              </w:rPr>
            </w:pPr>
            <w:r w:rsidRPr="00C17EF7">
              <w:rPr>
                <w:sz w:val="22"/>
                <w:lang w:val="en-GB"/>
              </w:rPr>
              <w:t>The Inter-VTS Exchange Format (IVEF) Service</w:t>
            </w:r>
          </w:p>
        </w:tc>
      </w:tr>
    </w:tbl>
    <w:p w14:paraId="05EE7EB0" w14:textId="77777777" w:rsidR="004259CB" w:rsidRPr="004259CB" w:rsidRDefault="004259CB" w:rsidP="004259CB">
      <w:pPr>
        <w:rPr>
          <w:lang w:val="en-GB"/>
        </w:rPr>
      </w:pPr>
      <w:bookmarkStart w:id="23" w:name="_Toc432687601"/>
      <w:bookmarkEnd w:id="23"/>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6F488D">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1356"/>
        <w:gridCol w:w="5865"/>
      </w:tblGrid>
      <w:tr w:rsidR="004259CB" w:rsidRPr="004259CB" w14:paraId="32397F63" w14:textId="77777777" w:rsidTr="00C17EF7">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356"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14:paraId="4F97AEAA" w14:textId="77777777" w:rsidTr="00C17EF7">
        <w:trPr>
          <w:jc w:val="center"/>
        </w:trPr>
        <w:tc>
          <w:tcPr>
            <w:tcW w:w="2526" w:type="dxa"/>
          </w:tcPr>
          <w:p w14:paraId="3959D71B" w14:textId="0F17007C" w:rsidR="00850E7F" w:rsidRDefault="00C17EF7" w:rsidP="00BA0EEF">
            <w:pPr>
              <w:spacing w:before="120" w:after="120"/>
              <w:rPr>
                <w:b/>
                <w:sz w:val="22"/>
                <w:lang w:val="en-GB"/>
              </w:rPr>
            </w:pPr>
            <w:r w:rsidRPr="00C17EF7">
              <w:rPr>
                <w:b/>
                <w:sz w:val="22"/>
                <w:lang w:val="en-GB"/>
              </w:rPr>
              <w:t>Data exchange systems (Traffic Information)</w:t>
            </w:r>
          </w:p>
        </w:tc>
        <w:tc>
          <w:tcPr>
            <w:tcW w:w="1356" w:type="dxa"/>
            <w:vAlign w:val="center"/>
          </w:tcPr>
          <w:p w14:paraId="469E0106" w14:textId="007A53C4" w:rsidR="00850E7F" w:rsidRDefault="00C17EF7" w:rsidP="00BA0EEF">
            <w:pPr>
              <w:spacing w:before="120" w:after="120"/>
              <w:rPr>
                <w:sz w:val="22"/>
                <w:lang w:val="en-GB"/>
              </w:rPr>
            </w:pPr>
            <w:r>
              <w:rPr>
                <w:sz w:val="22"/>
                <w:lang w:val="en-GB"/>
              </w:rPr>
              <w:t>E-142</w:t>
            </w:r>
          </w:p>
        </w:tc>
        <w:tc>
          <w:tcPr>
            <w:tcW w:w="5865" w:type="dxa"/>
            <w:vAlign w:val="center"/>
          </w:tcPr>
          <w:p w14:paraId="369A1155" w14:textId="56479352" w:rsidR="00850E7F" w:rsidRPr="00085375" w:rsidRDefault="00C17EF7" w:rsidP="00BA0EEF">
            <w:pPr>
              <w:spacing w:before="120" w:after="120"/>
              <w:rPr>
                <w:sz w:val="22"/>
                <w:lang w:val="en-GB"/>
              </w:rPr>
            </w:pPr>
            <w:r w:rsidRPr="00C17EF7">
              <w:rPr>
                <w:sz w:val="22"/>
                <w:lang w:val="en-GB"/>
              </w:rPr>
              <w:t>Maritime Data Sharing 'IALA-NET'</w:t>
            </w: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4" w:name="_Toc464136443"/>
      <w:bookmarkStart w:id="25" w:name="_Toc464139609"/>
      <w:r w:rsidRPr="004259CB">
        <w:rPr>
          <w:caps w:val="0"/>
        </w:rPr>
        <w:t>SUPPLEMENTARY ELEMENTS</w:t>
      </w:r>
      <w:bookmarkEnd w:id="24"/>
      <w:bookmarkEnd w:id="25"/>
    </w:p>
    <w:p w14:paraId="40B5C03D" w14:textId="77777777" w:rsidR="00160F8A" w:rsidRDefault="00160F8A" w:rsidP="00160F8A">
      <w:pPr>
        <w:autoSpaceDE w:val="0"/>
        <w:autoSpaceDN w:val="0"/>
        <w:adjustRightInd w:val="0"/>
        <w:spacing w:line="240" w:lineRule="auto"/>
        <w:rPr>
          <w:rFonts w:ascii="Tahoma" w:hAnsi="Tahoma" w:cs="Tahoma"/>
          <w:sz w:val="20"/>
          <w:szCs w:val="20"/>
          <w:lang w:val="en-GB"/>
        </w:rPr>
      </w:pPr>
      <w:r w:rsidRPr="00160F8A">
        <w:rPr>
          <w:rFonts w:ascii="Tahoma" w:hAnsi="Tahoma" w:cs="Tahoma"/>
          <w:color w:val="000000"/>
          <w:sz w:val="20"/>
          <w:szCs w:val="20"/>
          <w:highlight w:val="yellow"/>
          <w:lang w:val="en-GB"/>
        </w:rPr>
        <w:t>Offline check to see if there are any other IALA recommendations that should be referenced.</w:t>
      </w:r>
      <w:r>
        <w:rPr>
          <w:rFonts w:ascii="Tahoma" w:hAnsi="Tahoma" w:cs="Tahoma"/>
          <w:color w:val="000000"/>
          <w:sz w:val="20"/>
          <w:szCs w:val="20"/>
          <w:lang w:val="en-GB"/>
        </w:rPr>
        <w:t xml:space="preserve"> </w:t>
      </w:r>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bookmarkStart w:id="26" w:name="_GoBack"/>
      <w:bookmarkEnd w:id="26"/>
    </w:p>
    <w:p w14:paraId="54692D7F" w14:textId="2977FB14" w:rsidR="004259CB" w:rsidRPr="004259CB" w:rsidRDefault="004259CB" w:rsidP="004259CB">
      <w:pPr>
        <w:pStyle w:val="Heading1"/>
        <w:tabs>
          <w:tab w:val="clear" w:pos="0"/>
        </w:tabs>
        <w:spacing w:before="0"/>
        <w:ind w:left="0" w:firstLine="0"/>
        <w:rPr>
          <w:caps w:val="0"/>
        </w:rPr>
      </w:pPr>
      <w:bookmarkStart w:id="27" w:name="_Toc464033448"/>
      <w:bookmarkStart w:id="28" w:name="_Toc464136444"/>
      <w:bookmarkStart w:id="29" w:name="_Toc464139610"/>
      <w:r w:rsidRPr="004259CB">
        <w:rPr>
          <w:caps w:val="0"/>
        </w:rPr>
        <w:t>ADOPTION OF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77777777" w:rsidR="004259CB" w:rsidRPr="00BA0733" w:rsidRDefault="004259CB" w:rsidP="00BA0733">
            <w:pPr>
              <w:spacing w:before="120" w:after="120"/>
              <w:rPr>
                <w:sz w:val="22"/>
                <w:lang w:val="en-GB"/>
              </w:rPr>
            </w:pPr>
            <w:r w:rsidRPr="00BA0733">
              <w:rPr>
                <w:sz w:val="22"/>
                <w:lang w:val="en-GB"/>
              </w:rPr>
              <w:t>General Assembly Resolution, Incheon, Korea, May 2018.</w:t>
            </w:r>
          </w:p>
        </w:tc>
      </w:tr>
    </w:tbl>
    <w:p w14:paraId="5D2874E0" w14:textId="77777777" w:rsidR="00AB326D" w:rsidRPr="004259CB" w:rsidRDefault="00AB326D" w:rsidP="004259CB">
      <w:pPr>
        <w:pStyle w:val="BodyText"/>
      </w:pPr>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D6AE2" w14:textId="77777777" w:rsidR="00EE64C7" w:rsidRDefault="00EE64C7" w:rsidP="003274DB">
      <w:r>
        <w:separator/>
      </w:r>
    </w:p>
  </w:endnote>
  <w:endnote w:type="continuationSeparator" w:id="0">
    <w:p w14:paraId="0569B0A4" w14:textId="77777777" w:rsidR="00EE64C7" w:rsidRDefault="00EE64C7"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BFC0E" w14:textId="77777777" w:rsidR="006F488D" w:rsidRDefault="006F48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GB" w:eastAsia="en-GB"/>
      </w:rPr>
      <mc:AlternateContent>
        <mc:Choice Requires="wps">
          <w:drawing>
            <wp:anchor distT="0" distB="0" distL="114300" distR="114300" simplePos="0" relativeHeight="251652608" behindDoc="0" locked="0" layoutInCell="1" allowOverlap="1" wp14:anchorId="7BFBF8D0" wp14:editId="4948460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D7A43E"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6E073939" wp14:editId="74B497D8">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FB19B" w14:textId="77777777" w:rsidR="006F488D" w:rsidRDefault="006F488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6F488D" w:rsidP="00CB19DB">
    <w:pPr>
      <w:pStyle w:val="Footerportrait"/>
      <w:rPr>
        <w:rStyle w:val="PageNumber"/>
        <w:szCs w:val="15"/>
      </w:rPr>
    </w:pPr>
    <w:fldSimple w:instr=" STYLEREF &quot;Document type&quot; \* MERGEFORMAT ">
      <w:r w:rsidR="00AB27B1">
        <w:t>IALA Standard</w:t>
      </w:r>
    </w:fldSimple>
    <w:r w:rsidR="00857580" w:rsidRPr="00C907DF">
      <w:t xml:space="preserve"> </w:t>
    </w:r>
    <w:fldSimple w:instr=" STYLEREF &quot;Document number&quot; \* MERGEFORMAT ">
      <w:r w:rsidR="00AB27B1">
        <w:t>1070</w:t>
      </w:r>
    </w:fldSimple>
    <w:r w:rsidR="00857580" w:rsidRPr="00C907DF">
      <w:t xml:space="preserve"> –</w:t>
    </w:r>
    <w:r w:rsidR="00857580">
      <w:t xml:space="preserve"> </w:t>
    </w:r>
    <w:fldSimple w:instr=" STYLEREF &quot;Document name&quot; \* MERGEFORMAT ">
      <w:r w:rsidR="00AB27B1">
        <w:t>Information Services</w:t>
      </w:r>
    </w:fldSimple>
  </w:p>
  <w:p w14:paraId="19BC5EB7" w14:textId="1902E40F" w:rsidR="00857580" w:rsidRPr="00CB19DB" w:rsidRDefault="006F488D" w:rsidP="00CB19DB">
    <w:pPr>
      <w:pStyle w:val="Footerportrait"/>
    </w:pPr>
    <w:fldSimple w:instr=" STYLEREF &quot;Edition number&quot; \* MERGEFORMAT ">
      <w:r w:rsidR="00AB27B1">
        <w:t>Edition 1.0</w:t>
      </w:r>
    </w:fldSimple>
    <w:r w:rsidR="00857580">
      <w:t xml:space="preserve">  </w:t>
    </w:r>
    <w:fldSimple w:instr=" STYLEREF &quot;Document date&quot; \* MERGEFORMAT ">
      <w:r w:rsidR="00AB27B1">
        <w:t>June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AB27B1">
      <w:t>4</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F3579B" w14:textId="77777777" w:rsidR="00EE64C7" w:rsidRDefault="00EE64C7" w:rsidP="003274DB">
      <w:r>
        <w:separator/>
      </w:r>
    </w:p>
  </w:footnote>
  <w:footnote w:type="continuationSeparator" w:id="0">
    <w:p w14:paraId="61106131" w14:textId="77777777" w:rsidR="00EE64C7" w:rsidRDefault="00EE64C7"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A0B3EF" w14:textId="3281519E" w:rsidR="006F488D" w:rsidRDefault="00AB27B1">
    <w:pPr>
      <w:pStyle w:val="Header"/>
    </w:pPr>
    <w:r>
      <w:rPr>
        <w:noProof/>
      </w:rPr>
      <w:pict w14:anchorId="1BC012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5"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1FCA2512" w:rsidR="00857580" w:rsidRPr="00ED2A8D" w:rsidRDefault="00AB27B1" w:rsidP="006F488D">
    <w:pPr>
      <w:pStyle w:val="Header"/>
      <w:jc w:val="right"/>
      <w:rPr>
        <w:lang w:val="en-GB"/>
      </w:rPr>
    </w:pPr>
    <w:r>
      <w:rPr>
        <w:noProof/>
      </w:rPr>
      <w:pict w14:anchorId="6CD0C2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6"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GB" w:eastAsia="en-GB"/>
      </w:rPr>
      <w:drawing>
        <wp:anchor distT="0" distB="0" distL="114300" distR="114300" simplePos="0" relativeHeight="251650560" behindDoc="1" locked="0" layoutInCell="1" allowOverlap="1" wp14:anchorId="03207D6E" wp14:editId="6A67A0DF">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F488D">
      <w:rPr>
        <w:sz w:val="22"/>
        <w:lang w:val="en-GB"/>
      </w:rPr>
      <w:t>C63-8.4.1.7</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3632" behindDoc="1" locked="0" layoutInCell="1" allowOverlap="1" wp14:anchorId="7FD87733" wp14:editId="24937DA7">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5F16C" w14:textId="31D9284F" w:rsidR="006F488D" w:rsidRDefault="00AB27B1">
    <w:pPr>
      <w:pStyle w:val="Header"/>
    </w:pPr>
    <w:r>
      <w:rPr>
        <w:noProof/>
      </w:rPr>
      <w:pict w14:anchorId="272782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4"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CC9FF" w14:textId="2B26497F" w:rsidR="006F488D" w:rsidRDefault="00AB27B1">
    <w:pPr>
      <w:pStyle w:val="Header"/>
    </w:pPr>
    <w:r>
      <w:rPr>
        <w:noProof/>
      </w:rPr>
      <w:pict w14:anchorId="7B4899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8"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343F4E2F" w:rsidR="00857580" w:rsidRPr="00ED2A8D" w:rsidRDefault="00AB27B1" w:rsidP="008747E0">
    <w:pPr>
      <w:pStyle w:val="Header"/>
      <w:rPr>
        <w:lang w:val="en-GB"/>
      </w:rPr>
    </w:pPr>
    <w:r>
      <w:rPr>
        <w:noProof/>
      </w:rPr>
      <w:pict w14:anchorId="5D1CC8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9"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55680" behindDoc="1" locked="0" layoutInCell="1" allowOverlap="1" wp14:anchorId="622BD764" wp14:editId="4F3236F9">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5834DA60" w:rsidR="00857580" w:rsidRPr="00ED2A8D" w:rsidRDefault="006F488D" w:rsidP="006F488D">
    <w:pPr>
      <w:pStyle w:val="Header"/>
      <w:jc w:val="right"/>
      <w:rPr>
        <w:lang w:val="en-GB"/>
      </w:rPr>
    </w:pPr>
    <w:r>
      <w:rPr>
        <w:sz w:val="22"/>
        <w:lang w:val="en-GB"/>
      </w:rPr>
      <w:t>C63-8.4.1.7</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652F5" w14:textId="62F0C4D4" w:rsidR="006F488D" w:rsidRDefault="00AB27B1">
    <w:pPr>
      <w:pStyle w:val="Header"/>
    </w:pPr>
    <w:r>
      <w:rPr>
        <w:noProof/>
      </w:rPr>
      <w:pict w14:anchorId="064D6A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37"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ABCF99" w14:textId="7D96DD7D" w:rsidR="006F488D" w:rsidRDefault="00AB27B1">
    <w:pPr>
      <w:pStyle w:val="Header"/>
    </w:pPr>
    <w:r>
      <w:rPr>
        <w:noProof/>
      </w:rPr>
      <w:pict w14:anchorId="0A7D2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1"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198A8556" w:rsidR="00857580" w:rsidRPr="00AB623C" w:rsidRDefault="00AB27B1" w:rsidP="006F488D">
    <w:pPr>
      <w:pStyle w:val="Header"/>
      <w:jc w:val="right"/>
      <w:rPr>
        <w:lang w:val="en-GB"/>
      </w:rPr>
    </w:pPr>
    <w:r>
      <w:rPr>
        <w:noProof/>
      </w:rPr>
      <w:pict w14:anchorId="2D11A8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2"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6F488D">
      <w:rPr>
        <w:sz w:val="22"/>
        <w:lang w:val="en-GB"/>
      </w:rPr>
      <w:t>C63-8.4.1.7</w:t>
    </w:r>
    <w:r w:rsidR="00857580">
      <w:rPr>
        <w:noProof/>
        <w:lang w:val="en-GB" w:eastAsia="en-GB"/>
      </w:rPr>
      <w:drawing>
        <wp:anchor distT="0" distB="0" distL="114300" distR="114300" simplePos="0" relativeHeight="251654656" behindDoc="1" locked="0" layoutInCell="1" allowOverlap="1" wp14:anchorId="7265616B" wp14:editId="5473D1E3">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E3D37" w14:textId="6BB74142" w:rsidR="006F488D" w:rsidRDefault="00AB27B1">
    <w:pPr>
      <w:pStyle w:val="Header"/>
    </w:pPr>
    <w:r>
      <w:rPr>
        <w:noProof/>
      </w:rPr>
      <w:pict w14:anchorId="629791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608740"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6EAF"/>
    <w:rsid w:val="00033773"/>
    <w:rsid w:val="00085375"/>
    <w:rsid w:val="000C711B"/>
    <w:rsid w:val="000D4C23"/>
    <w:rsid w:val="000E5B53"/>
    <w:rsid w:val="001349DB"/>
    <w:rsid w:val="0013794D"/>
    <w:rsid w:val="00160F8A"/>
    <w:rsid w:val="00192FEB"/>
    <w:rsid w:val="001B1140"/>
    <w:rsid w:val="001C3592"/>
    <w:rsid w:val="001E416D"/>
    <w:rsid w:val="00203BE2"/>
    <w:rsid w:val="002204DA"/>
    <w:rsid w:val="00265AFA"/>
    <w:rsid w:val="0027175D"/>
    <w:rsid w:val="002B6679"/>
    <w:rsid w:val="00304DD8"/>
    <w:rsid w:val="003236FC"/>
    <w:rsid w:val="003274DB"/>
    <w:rsid w:val="003476DC"/>
    <w:rsid w:val="003500F2"/>
    <w:rsid w:val="00366678"/>
    <w:rsid w:val="00383110"/>
    <w:rsid w:val="003C7C34"/>
    <w:rsid w:val="004028D6"/>
    <w:rsid w:val="00406B02"/>
    <w:rsid w:val="004259CB"/>
    <w:rsid w:val="00434EE8"/>
    <w:rsid w:val="00441393"/>
    <w:rsid w:val="00456F10"/>
    <w:rsid w:val="00457308"/>
    <w:rsid w:val="00480184"/>
    <w:rsid w:val="00496E8D"/>
    <w:rsid w:val="004A4A3F"/>
    <w:rsid w:val="004C7C5C"/>
    <w:rsid w:val="004E2F16"/>
    <w:rsid w:val="004F505B"/>
    <w:rsid w:val="00526234"/>
    <w:rsid w:val="0053726A"/>
    <w:rsid w:val="00553495"/>
    <w:rsid w:val="00556CF6"/>
    <w:rsid w:val="00586F09"/>
    <w:rsid w:val="005A181A"/>
    <w:rsid w:val="0060160B"/>
    <w:rsid w:val="00603E5A"/>
    <w:rsid w:val="006127AC"/>
    <w:rsid w:val="006654C7"/>
    <w:rsid w:val="00666061"/>
    <w:rsid w:val="00680F99"/>
    <w:rsid w:val="006A4DA5"/>
    <w:rsid w:val="006C24DF"/>
    <w:rsid w:val="006C748C"/>
    <w:rsid w:val="006F488D"/>
    <w:rsid w:val="0070191F"/>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431CF"/>
    <w:rsid w:val="00850E7F"/>
    <w:rsid w:val="00857580"/>
    <w:rsid w:val="008747E0"/>
    <w:rsid w:val="008E2A55"/>
    <w:rsid w:val="009210BC"/>
    <w:rsid w:val="009330EF"/>
    <w:rsid w:val="009414E6"/>
    <w:rsid w:val="00971591"/>
    <w:rsid w:val="009724BE"/>
    <w:rsid w:val="00974E99"/>
    <w:rsid w:val="009764FA"/>
    <w:rsid w:val="00980192"/>
    <w:rsid w:val="009B3B25"/>
    <w:rsid w:val="009C79E3"/>
    <w:rsid w:val="009E16EC"/>
    <w:rsid w:val="009E79A1"/>
    <w:rsid w:val="00A1776A"/>
    <w:rsid w:val="00A549B3"/>
    <w:rsid w:val="00AA70F6"/>
    <w:rsid w:val="00AB27B1"/>
    <w:rsid w:val="00AB326D"/>
    <w:rsid w:val="00AB623C"/>
    <w:rsid w:val="00AB73F4"/>
    <w:rsid w:val="00AC33A2"/>
    <w:rsid w:val="00AF159C"/>
    <w:rsid w:val="00B02CC1"/>
    <w:rsid w:val="00B12B0A"/>
    <w:rsid w:val="00B31A41"/>
    <w:rsid w:val="00B67422"/>
    <w:rsid w:val="00B911C2"/>
    <w:rsid w:val="00B97082"/>
    <w:rsid w:val="00BA0733"/>
    <w:rsid w:val="00BE0675"/>
    <w:rsid w:val="00C065BD"/>
    <w:rsid w:val="00C17EF7"/>
    <w:rsid w:val="00C23906"/>
    <w:rsid w:val="00C81162"/>
    <w:rsid w:val="00C83666"/>
    <w:rsid w:val="00CB19DB"/>
    <w:rsid w:val="00CD0934"/>
    <w:rsid w:val="00CD36BB"/>
    <w:rsid w:val="00CE5E46"/>
    <w:rsid w:val="00CF477F"/>
    <w:rsid w:val="00CF569D"/>
    <w:rsid w:val="00D43AEF"/>
    <w:rsid w:val="00D6195E"/>
    <w:rsid w:val="00D67D51"/>
    <w:rsid w:val="00D70AFE"/>
    <w:rsid w:val="00D74AE1"/>
    <w:rsid w:val="00D75F79"/>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E64C7"/>
    <w:rsid w:val="00EF404B"/>
    <w:rsid w:val="00F00376"/>
    <w:rsid w:val="00F11A7D"/>
    <w:rsid w:val="00F14214"/>
    <w:rsid w:val="00F157E2"/>
    <w:rsid w:val="00F41515"/>
    <w:rsid w:val="00F73792"/>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38C0126F-82CC-4588-BF2D-161386387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48D84-BA34-4D8F-898F-E07262DC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715</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4782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Wayne Quinn</cp:lastModifiedBy>
  <cp:revision>2</cp:revision>
  <dcterms:created xsi:type="dcterms:W3CDTF">2017-03-16T15:55:00Z</dcterms:created>
  <dcterms:modified xsi:type="dcterms:W3CDTF">2017-03-16T15:55:00Z</dcterms:modified>
</cp:coreProperties>
</file>